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1C2AD">
      <w:pPr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41B98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毕业答辩流程及有关要求</w:t>
      </w:r>
    </w:p>
    <w:p w14:paraId="35069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1.答辩资格审查</w:t>
      </w:r>
    </w:p>
    <w:p w14:paraId="1BDF89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各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在安排学生答辩前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，需对学生的答辩资格进行审查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只有符合以下所有条件的学生才能参加答辩。</w:t>
      </w:r>
    </w:p>
    <w:p w14:paraId="58C19C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毕业论文（设计）管理系统各环节（任务书、开题报告、中期检查、评阅指导、论文答辩稿、查重报告等环节）完整、规范，符合学校相关要求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；</w:t>
      </w:r>
    </w:p>
    <w:p w14:paraId="03EC8E7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毕业论文（设计）评阅成绩合格及以上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；</w:t>
      </w:r>
    </w:p>
    <w:p w14:paraId="6BEE19F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毕业论文（设计）查重率低于30%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（不含30%）；</w:t>
      </w:r>
    </w:p>
    <w:p w14:paraId="7369B80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）毕业论文（设计）(AIGC)检测结果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低于30%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（不含30%）。</w:t>
      </w:r>
    </w:p>
    <w:p w14:paraId="15C3009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2.答辩组织</w:t>
      </w:r>
    </w:p>
    <w:p w14:paraId="692666C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default" w:ascii="仿宋" w:hAnsi="仿宋" w:eastAsia="仿宋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各院（部）根据专业及参加答辩的学生人数成立答辩小组，</w:t>
      </w:r>
      <w:r>
        <w:rPr>
          <w:rFonts w:ascii="仿宋" w:hAnsi="仿宋" w:eastAsia="仿宋" w:cs="仿宋"/>
          <w:sz w:val="32"/>
          <w:szCs w:val="28"/>
          <w:highlight w:val="none"/>
        </w:rPr>
        <w:t>各</w:t>
      </w:r>
      <w:r>
        <w:rPr>
          <w:rFonts w:hint="eastAsia" w:ascii="仿宋" w:hAnsi="仿宋" w:eastAsia="仿宋" w:cs="仿宋"/>
          <w:sz w:val="32"/>
          <w:szCs w:val="28"/>
          <w:highlight w:val="none"/>
        </w:rPr>
        <w:t>答辩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小组成员3-5人（不含答辩记录员），组长须由具有副高及以上职称者担任，并报学校毕业答辩工作领导小组审批</w:t>
      </w:r>
      <w:r>
        <w:rPr>
          <w:rFonts w:ascii="仿宋" w:hAnsi="仿宋" w:eastAsia="仿宋" w:cs="仿宋"/>
          <w:sz w:val="32"/>
          <w:szCs w:val="28"/>
          <w:highlight w:val="none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指导教师不能参加本人指导学生的答辩小组，答辩小组记录员不能由学生担任。</w:t>
      </w:r>
    </w:p>
    <w:p w14:paraId="46A9B4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Calibri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答辩要求</w:t>
      </w:r>
    </w:p>
    <w:p w14:paraId="1F3C93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Style w:val="5"/>
          <w:rFonts w:ascii="仿宋" w:hAnsi="仿宋" w:eastAsia="仿宋" w:cs="Calibri"/>
          <w:b w:val="0"/>
          <w:bCs w:val="0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毕业论文（设计）答辩流程应公开、公正、透明，答辩环节应完整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全程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需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进行录音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录像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保存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答辩过程材料和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视频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音频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资料。</w:t>
      </w:r>
    </w:p>
    <w:p w14:paraId="1F75F75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（2）时间要求：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  <w:t>答辩要求学生注意着装，答辩顺序由答辩小组确定，由答辩小组记录员提前通知学生做好准备。全体学生务必在答辩前15分钟到答辩地点做准备。</w:t>
      </w:r>
    </w:p>
    <w:p w14:paraId="3441AB7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  <w:t>（3）过程要求：答辩过程中非答辩学生应禁言，有任何问题单独联系答辩秘书；答辩过程中禁止从事与答辩无关的行为，禁止向外传播答辩音频视频等相关资料；答辩要坚持学术标准，并保证真实、公开、完整、全程可记录,答辩的学生必须是独立进行答辩。</w:t>
      </w:r>
    </w:p>
    <w:p w14:paraId="2D9FD7B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hint="default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  <w:t>4.答辩流程</w:t>
      </w:r>
    </w:p>
    <w:p w14:paraId="1A8171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Calibri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各院（部）在学生答辩之前，指导学生做好论文查重工作。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在答辩前一周将答辩安排及答辩分组告知所有学生及相关人员</w:t>
      </w:r>
      <w:r>
        <w:rPr>
          <w:rFonts w:hint="eastAsia" w:ascii="仿宋" w:hAnsi="仿宋" w:eastAsia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做好答辩准备。答辩前15分钟，答辩秘书（记录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员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）组织答辩小组及学生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准备答辩工作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。</w:t>
      </w:r>
    </w:p>
    <w:p w14:paraId="575734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Calibri"/>
          <w:color w:val="000000"/>
          <w:kern w:val="0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按照答辩时间，答辩小组组长召集答辩教师、答辩学生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到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指定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教室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进行答辩工作。</w:t>
      </w:r>
    </w:p>
    <w:p w14:paraId="1B3C3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答辩小组组长宣布答辩成员组成，简要介绍答辩流程。按照学位论文（设计）答辩流程及要求开展答辩工作。</w:t>
      </w:r>
    </w:p>
    <w:p w14:paraId="731C90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 w:cs="Calibri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-SA"/>
        </w:rPr>
        <w:t>（4）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答辩结束后，答辩小组立刻进行评分环节，根据学生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答辩情况进行评议，并结合学生论文撰写情况，评定毕业论文（设计）答辩成绩。</w:t>
      </w:r>
    </w:p>
    <w:p w14:paraId="36DC9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（5）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过程记录。答辩记录人应如实记录答辩过程。答辩结束后，答辩记录人需在《答辩记录及评分表》中录入答辩情况、答辩决议及答辩成绩。具体流程细节，以各答辩小组的最终安排为准。答辩结束后，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  <w:t>答辩记录员需将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答辩记录、评分表、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/>
        </w:rPr>
        <w:t>答辩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  <w:lang w:val="en-US" w:eastAsia="zh-CN" w:bidi="ar-SA"/>
        </w:rPr>
        <w:t>的图片、音频及视频等相关材料提交学院备案归档</w:t>
      </w:r>
      <w:r>
        <w:rPr>
          <w:rFonts w:hint="eastAsia" w:ascii="仿宋" w:hAnsi="仿宋" w:eastAsia="仿宋" w:cs="Calibri"/>
          <w:color w:val="000000"/>
          <w:kern w:val="0"/>
          <w:sz w:val="32"/>
          <w:szCs w:val="32"/>
          <w:highlight w:val="none"/>
        </w:rPr>
        <w:t>。</w:t>
      </w:r>
    </w:p>
    <w:p w14:paraId="2F1BC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5.成绩评定及上报</w:t>
      </w:r>
    </w:p>
    <w:p w14:paraId="395C10B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/>
          <w:color w:val="000000"/>
          <w:sz w:val="32"/>
          <w:szCs w:val="32"/>
        </w:rPr>
        <w:t>毕业论文（设计）的综合成绩按照指导教师评分和论文答辩成绩计整数分后以4:6的比例权重计算得出，以四舍五入的方式计整分。</w:t>
      </w:r>
    </w:p>
    <w:p w14:paraId="6F79604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lang w:val="en-US" w:eastAsia="zh-CN"/>
        </w:rPr>
        <w:t>（2）</w:t>
      </w:r>
      <w:r>
        <w:rPr>
          <w:rFonts w:hint="eastAsia" w:ascii="仿宋" w:hAnsi="仿宋" w:eastAsia="仿宋"/>
          <w:color w:val="000000"/>
          <w:sz w:val="32"/>
          <w:szCs w:val="32"/>
        </w:rPr>
        <w:t>答辩结束后，指导教师应及时在教务系统录入毕业答辩成绩，教学秘书需提交《长春大学旅游学院本科毕业论文（设计）成绩汇总及分析表》，有学生未取得毕业论文（设计）成绩的，需在备注中写明原因。</w:t>
      </w:r>
    </w:p>
    <w:p w14:paraId="6A2E1CF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lang w:val="en-US" w:eastAsia="zh-CN"/>
        </w:rPr>
        <w:t>（3）</w:t>
      </w:r>
      <w:r>
        <w:rPr>
          <w:rFonts w:hint="eastAsia" w:ascii="仿宋" w:hAnsi="仿宋" w:eastAsia="仿宋"/>
          <w:color w:val="000000"/>
          <w:sz w:val="32"/>
          <w:szCs w:val="32"/>
        </w:rPr>
        <w:t>各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/>
          <w:color w:val="000000"/>
          <w:sz w:val="32"/>
          <w:szCs w:val="32"/>
        </w:rPr>
        <w:t>优秀毕业论文（设计）的比例应控制在本单位应届本科毕业论文总数的10%以下，并按照本单位应届本科毕业论文总数5%的比例向教务处推荐校级优秀毕业论文（设计），优秀毕业论文（设计）的复检文字重合百分比不得大于15%。各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学院需于规定时间内</w:t>
      </w:r>
      <w:r>
        <w:rPr>
          <w:rFonts w:hint="eastAsia" w:ascii="仿宋" w:hAnsi="仿宋" w:eastAsia="仿宋"/>
          <w:color w:val="000000"/>
          <w:sz w:val="32"/>
          <w:szCs w:val="32"/>
        </w:rPr>
        <w:t>将推荐名单、毕业论文（设计）电子文本及查重报告报送教务处。</w:t>
      </w:r>
    </w:p>
    <w:p w14:paraId="18767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6.工作总结</w:t>
      </w:r>
    </w:p>
    <w:p w14:paraId="3907D1B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640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各学院</w:t>
      </w:r>
      <w:r>
        <w:rPr>
          <w:rFonts w:hint="eastAsia" w:ascii="仿宋" w:hAnsi="仿宋" w:eastAsia="仿宋"/>
          <w:color w:val="000000"/>
          <w:sz w:val="32"/>
          <w:szCs w:val="32"/>
        </w:rPr>
        <w:t>应在毕业论文（设计）工作结束后，对本届本科生毕业论文（设计）工作进行书面总结，全面分析毕业论文（设计）的难度、份量、综合训练程度、答辩、成绩评定等内容，重点总结毕业论文（设计）完成情况、工作特色和取得的显著成绩、存在的问题及改进措施及建议等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工作总结需</w:t>
      </w:r>
      <w:r>
        <w:rPr>
          <w:rFonts w:hint="eastAsia" w:ascii="仿宋" w:hAnsi="仿宋" w:eastAsia="仿宋"/>
          <w:color w:val="000000"/>
          <w:sz w:val="32"/>
          <w:szCs w:val="32"/>
        </w:rPr>
        <w:t>于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规定时间内</w:t>
      </w:r>
      <w:r>
        <w:rPr>
          <w:rFonts w:hint="eastAsia" w:ascii="仿宋" w:hAnsi="仿宋" w:eastAsia="仿宋"/>
          <w:color w:val="000000"/>
          <w:sz w:val="32"/>
          <w:szCs w:val="32"/>
        </w:rPr>
        <w:t>上报教务处。</w:t>
      </w:r>
    </w:p>
    <w:p w14:paraId="4E9FB2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BF0C1F-DE19-47B3-973A-C19F3CBEC8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1DC6E8A-449B-4506-912D-BADCB0377EB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2722753-9A7A-43BB-AC23-F7FE0538284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800002BF" w:usb1="184F6CF8" w:usb2="00000012" w:usb3="00000000" w:csb0="00160001" w:csb1="12030000"/>
    <w:embedRegular r:id="rId4" w:fontKey="{29FDB1E3-D69A-4E87-B926-48C0AAD8F5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YzVkOTRiZTliZDFhZTQ3Yjk4ZGM5NTQwMDA2ZWMifQ=="/>
  </w:docVars>
  <w:rsids>
    <w:rsidRoot w:val="6BB22CB5"/>
    <w:rsid w:val="08ED1D35"/>
    <w:rsid w:val="0DC1191F"/>
    <w:rsid w:val="108A5C86"/>
    <w:rsid w:val="18647EB7"/>
    <w:rsid w:val="1BD20A0F"/>
    <w:rsid w:val="58385FF7"/>
    <w:rsid w:val="5E9650E1"/>
    <w:rsid w:val="5F9B4879"/>
    <w:rsid w:val="630C798B"/>
    <w:rsid w:val="6BB22CB5"/>
    <w:rsid w:val="72B5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1410</Words>
  <Characters>1440</Characters>
  <Lines>0</Lines>
  <Paragraphs>0</Paragraphs>
  <TotalTime>0</TotalTime>
  <ScaleCrop>false</ScaleCrop>
  <LinksUpToDate>false</LinksUpToDate>
  <CharactersWithSpaces>1440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2024-04-25T04:35:00Z</dcterms:created>
  <dc:creator>曹哲</dc:creator>
  <cp:lastModifiedBy>its All Right</cp:lastModifiedBy>
  <cp:lastPrinted>2026-04-07T02:44:05Z</cp:lastPrinted>
  <dcterms:modified xsi:type="dcterms:W3CDTF">2026-04-07T05:25:21Z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AE879703F68641B6B964BB5F3A92A0B8_13</vt:lpwstr>
  </property>
  <property fmtid="{D5CDD505-2E9C-101B-9397-08002B2CF9AE}" pid="4" name="KSOTemplateDocerSaveRecord">
    <vt:lpwstr>eyJoZGlkIjoiYzMyYzVkOTRiZTliZDFhZTQ3Yjk4ZGM5NTQwMDA2ZWMiLCJ1c2VySWQiOiI3MDQ0NjM0MTEifQ==</vt:lpwstr>
  </property>
</Properties>
</file>